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eastAsia="黑体"/>
          <w:color w:val="000000"/>
          <w:sz w:val="32"/>
          <w:szCs w:val="32"/>
        </w:rPr>
      </w:pPr>
      <w:r>
        <w:rPr>
          <w:rFonts w:eastAsia="黑体"/>
          <w:color w:val="000000"/>
          <w:sz w:val="32"/>
          <w:szCs w:val="32"/>
        </w:rPr>
        <w:t>附件3-1</w:t>
      </w:r>
    </w:p>
    <w:p>
      <w:pPr>
        <w:spacing w:line="560" w:lineRule="exact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中国非公立医疗机构协会</w:t>
      </w:r>
    </w:p>
    <w:p>
      <w:pPr>
        <w:spacing w:line="560" w:lineRule="exact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会费缴纳回执单</w:t>
      </w:r>
      <w:bookmarkStart w:id="0" w:name="_GoBack"/>
      <w:bookmarkEnd w:id="0"/>
    </w:p>
    <w:tbl>
      <w:tblPr>
        <w:tblStyle w:val="9"/>
        <w:tblW w:w="8784" w:type="dxa"/>
        <w:tblInd w:w="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784" w:type="dxa"/>
          </w:tcPr>
          <w:p>
            <w:pPr>
              <w:spacing w:line="560" w:lineRule="exact"/>
              <w:jc w:val="left"/>
              <w:rPr>
                <w:rFonts w:eastAsia="华文仿宋"/>
                <w:color w:val="000000"/>
                <w:sz w:val="32"/>
                <w:szCs w:val="32"/>
              </w:rPr>
            </w:pPr>
            <w:r>
              <w:rPr>
                <w:rFonts w:eastAsia="华文仿宋"/>
                <w:color w:val="000000"/>
                <w:sz w:val="32"/>
                <w:szCs w:val="32"/>
              </w:rPr>
              <w:t>汇款单位名称：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84" w:type="dxa"/>
          </w:tcPr>
          <w:p>
            <w:pPr>
              <w:spacing w:line="560" w:lineRule="exact"/>
              <w:jc w:val="left"/>
              <w:rPr>
                <w:rFonts w:eastAsia="华文仿宋"/>
                <w:color w:val="000000"/>
                <w:sz w:val="32"/>
                <w:szCs w:val="32"/>
              </w:rPr>
            </w:pPr>
            <w:r>
              <w:rPr>
                <w:rFonts w:eastAsia="华文仿宋"/>
                <w:color w:val="000000"/>
                <w:sz w:val="32"/>
                <w:szCs w:val="32"/>
              </w:rPr>
              <w:t>发票抬头、税号：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8784" w:type="dxa"/>
          </w:tcPr>
          <w:p>
            <w:pPr>
              <w:spacing w:line="560" w:lineRule="exact"/>
              <w:jc w:val="left"/>
              <w:rPr>
                <w:rFonts w:eastAsia="华文仿宋"/>
                <w:color w:val="000000"/>
                <w:sz w:val="32"/>
                <w:szCs w:val="32"/>
              </w:rPr>
            </w:pPr>
            <w:r>
              <w:rPr>
                <w:rFonts w:eastAsia="华文仿宋"/>
                <w:color w:val="000000"/>
                <w:sz w:val="32"/>
                <w:szCs w:val="32"/>
              </w:rPr>
              <w:t>开票金额：                             （单位：元）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8784" w:type="dxa"/>
          </w:tcPr>
          <w:p>
            <w:pPr>
              <w:spacing w:line="560" w:lineRule="exact"/>
              <w:jc w:val="left"/>
              <w:rPr>
                <w:rFonts w:eastAsia="华文仿宋"/>
                <w:color w:val="000000"/>
                <w:sz w:val="32"/>
                <w:szCs w:val="32"/>
              </w:rPr>
            </w:pPr>
            <w:r>
              <w:rPr>
                <w:rFonts w:eastAsia="华文仿宋"/>
                <w:color w:val="000000"/>
                <w:sz w:val="32"/>
                <w:szCs w:val="32"/>
              </w:rPr>
              <w:t>汇款时间：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8784" w:type="dxa"/>
          </w:tcPr>
          <w:p>
            <w:pPr>
              <w:spacing w:line="560" w:lineRule="exact"/>
              <w:jc w:val="left"/>
              <w:rPr>
                <w:rFonts w:eastAsia="华文仿宋"/>
                <w:color w:val="000000"/>
                <w:sz w:val="32"/>
                <w:szCs w:val="32"/>
              </w:rPr>
            </w:pPr>
            <w:r>
              <w:rPr>
                <w:rFonts w:eastAsia="华文仿宋"/>
                <w:color w:val="000000"/>
                <w:sz w:val="32"/>
                <w:szCs w:val="32"/>
              </w:rPr>
              <w:t>会员证书名称（会员单位名称）：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8784" w:type="dxa"/>
          </w:tcPr>
          <w:p>
            <w:pPr>
              <w:spacing w:line="560" w:lineRule="exact"/>
              <w:jc w:val="left"/>
              <w:rPr>
                <w:rFonts w:eastAsia="华文仿宋"/>
                <w:color w:val="000000"/>
                <w:sz w:val="32"/>
                <w:szCs w:val="32"/>
              </w:rPr>
            </w:pPr>
            <w:r>
              <w:rPr>
                <w:rFonts w:eastAsia="华文仿宋"/>
                <w:color w:val="000000"/>
                <w:sz w:val="32"/>
                <w:szCs w:val="32"/>
              </w:rPr>
              <w:t>电子发票接收手机号码：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8784" w:type="dxa"/>
          </w:tcPr>
          <w:p>
            <w:pPr>
              <w:spacing w:line="560" w:lineRule="exact"/>
              <w:jc w:val="left"/>
              <w:rPr>
                <w:rFonts w:eastAsia="华文仿宋"/>
                <w:color w:val="000000"/>
                <w:sz w:val="32"/>
                <w:szCs w:val="32"/>
              </w:rPr>
            </w:pPr>
            <w:r>
              <w:rPr>
                <w:rFonts w:eastAsia="华文仿宋"/>
                <w:color w:val="000000"/>
                <w:sz w:val="32"/>
                <w:szCs w:val="32"/>
              </w:rPr>
              <w:t>电子发票和会员证书接收邮箱：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9" w:hRule="atLeast"/>
        </w:trPr>
        <w:tc>
          <w:tcPr>
            <w:tcW w:w="8784" w:type="dxa"/>
          </w:tcPr>
          <w:p>
            <w:pPr>
              <w:spacing w:line="560" w:lineRule="exact"/>
              <w:jc w:val="left"/>
              <w:rPr>
                <w:rFonts w:eastAsia="华文仿宋"/>
                <w:color w:val="000000"/>
                <w:sz w:val="32"/>
                <w:szCs w:val="32"/>
              </w:rPr>
            </w:pPr>
          </w:p>
          <w:p>
            <w:pPr>
              <w:spacing w:line="560" w:lineRule="exact"/>
              <w:jc w:val="left"/>
              <w:rPr>
                <w:rFonts w:eastAsia="华文仿宋"/>
                <w:color w:val="000000"/>
                <w:sz w:val="32"/>
                <w:szCs w:val="32"/>
              </w:rPr>
            </w:pPr>
          </w:p>
          <w:p>
            <w:pPr>
              <w:spacing w:line="560" w:lineRule="exact"/>
              <w:jc w:val="left"/>
              <w:rPr>
                <w:rFonts w:eastAsia="华文仿宋"/>
                <w:color w:val="000000"/>
                <w:sz w:val="32"/>
                <w:szCs w:val="32"/>
              </w:rPr>
            </w:pPr>
          </w:p>
          <w:p>
            <w:pPr>
              <w:spacing w:line="560" w:lineRule="exact"/>
              <w:jc w:val="left"/>
              <w:rPr>
                <w:rFonts w:eastAsia="华文仿宋"/>
                <w:color w:val="000000"/>
                <w:sz w:val="32"/>
                <w:szCs w:val="32"/>
              </w:rPr>
            </w:pPr>
          </w:p>
          <w:p>
            <w:pPr>
              <w:spacing w:line="560" w:lineRule="exact"/>
              <w:ind w:firstLine="1922" w:firstLineChars="600"/>
              <w:jc w:val="left"/>
              <w:rPr>
                <w:rFonts w:eastAsia="华文仿宋"/>
                <w:b/>
                <w:color w:val="000000"/>
                <w:sz w:val="32"/>
                <w:szCs w:val="32"/>
              </w:rPr>
            </w:pPr>
            <w:r>
              <w:rPr>
                <w:rFonts w:eastAsia="华文仿宋"/>
                <w:b/>
                <w:color w:val="000000"/>
                <w:sz w:val="32"/>
                <w:szCs w:val="32"/>
              </w:rPr>
              <w:t>（此处粘贴“汇款凭证截图”）</w:t>
            </w:r>
          </w:p>
          <w:p>
            <w:pPr>
              <w:spacing w:line="560" w:lineRule="exact"/>
              <w:jc w:val="left"/>
              <w:rPr>
                <w:rFonts w:eastAsia="华文仿宋"/>
                <w:b/>
                <w:color w:val="000000"/>
                <w:sz w:val="32"/>
                <w:szCs w:val="32"/>
              </w:rPr>
            </w:pPr>
          </w:p>
          <w:p>
            <w:pPr>
              <w:spacing w:line="560" w:lineRule="exact"/>
              <w:jc w:val="left"/>
              <w:rPr>
                <w:rFonts w:eastAsia="华文仿宋"/>
                <w:b/>
                <w:color w:val="000000"/>
                <w:sz w:val="32"/>
                <w:szCs w:val="32"/>
              </w:rPr>
            </w:pPr>
          </w:p>
          <w:p>
            <w:pPr>
              <w:spacing w:line="560" w:lineRule="exact"/>
              <w:jc w:val="left"/>
              <w:rPr>
                <w:rFonts w:eastAsia="华文仿宋"/>
                <w:b/>
                <w:color w:val="000000"/>
                <w:sz w:val="32"/>
                <w:szCs w:val="32"/>
              </w:rPr>
            </w:pPr>
          </w:p>
          <w:p>
            <w:pPr>
              <w:spacing w:line="560" w:lineRule="exact"/>
              <w:jc w:val="left"/>
              <w:rPr>
                <w:rFonts w:eastAsia="华文仿宋"/>
                <w:b/>
                <w:color w:val="000000"/>
                <w:sz w:val="32"/>
                <w:szCs w:val="32"/>
              </w:rPr>
            </w:pPr>
          </w:p>
        </w:tc>
      </w:tr>
    </w:tbl>
    <w:p>
      <w:pPr>
        <w:spacing w:line="560" w:lineRule="exact"/>
        <w:ind w:firstLine="640" w:firstLineChars="200"/>
        <w:rPr>
          <w:rFonts w:eastAsia="华文仿宋"/>
          <w:color w:val="000000"/>
          <w:sz w:val="32"/>
          <w:szCs w:val="32"/>
        </w:rPr>
      </w:pPr>
      <w:r>
        <w:rPr>
          <w:rFonts w:eastAsia="华文仿宋"/>
          <w:color w:val="000000"/>
          <w:sz w:val="32"/>
          <w:szCs w:val="32"/>
        </w:rPr>
        <w:t>备注：</w:t>
      </w:r>
      <w:r>
        <w:fldChar w:fldCharType="begin"/>
      </w:r>
      <w:r>
        <w:instrText xml:space="preserve"> HYPERLINK "mailto:请务必认真填写并以邮件形式发送至指定邮箱hyzzb@cnmia.org" </w:instrText>
      </w:r>
      <w:r>
        <w:fldChar w:fldCharType="separate"/>
      </w:r>
      <w:r>
        <w:rPr>
          <w:rFonts w:eastAsia="华文仿宋"/>
          <w:color w:val="000000"/>
          <w:sz w:val="32"/>
          <w:szCs w:val="32"/>
        </w:rPr>
        <w:t>请务必认真填写并邮件发送至指定邮箱hyzzb@cnmia.org</w:t>
      </w:r>
      <w:r>
        <w:rPr>
          <w:rFonts w:eastAsia="华文仿宋"/>
          <w:color w:val="000000"/>
          <w:sz w:val="32"/>
          <w:szCs w:val="32"/>
        </w:rPr>
        <w:fldChar w:fldCharType="end"/>
      </w:r>
      <w:r>
        <w:rPr>
          <w:rFonts w:eastAsia="华文仿宋"/>
          <w:color w:val="000000"/>
          <w:sz w:val="32"/>
          <w:szCs w:val="32"/>
        </w:rPr>
        <w:t>。</w:t>
      </w:r>
    </w:p>
    <w:p>
      <w:pPr>
        <w:spacing w:line="600" w:lineRule="exact"/>
        <w:jc w:val="center"/>
        <w:rPr>
          <w:b/>
          <w:bCs/>
          <w:color w:val="000000"/>
          <w:sz w:val="44"/>
          <w:szCs w:val="44"/>
        </w:rPr>
      </w:pPr>
    </w:p>
    <w:p>
      <w:pPr>
        <w:spacing w:line="560" w:lineRule="exact"/>
        <w:rPr>
          <w:rFonts w:eastAsia="黑体"/>
          <w:color w:val="000000"/>
          <w:sz w:val="32"/>
          <w:szCs w:val="32"/>
        </w:rPr>
      </w:pPr>
      <w:r>
        <w:rPr>
          <w:rFonts w:eastAsia="黑体"/>
          <w:color w:val="000000"/>
          <w:sz w:val="32"/>
          <w:szCs w:val="32"/>
        </w:rPr>
        <w:t>附件3-2</w:t>
      </w:r>
    </w:p>
    <w:p>
      <w:pPr>
        <w:spacing w:line="600" w:lineRule="exact"/>
        <w:jc w:val="center"/>
        <w:rPr>
          <w:b/>
          <w:bCs/>
          <w:color w:val="000000"/>
          <w:sz w:val="44"/>
          <w:szCs w:val="44"/>
        </w:rPr>
      </w:pPr>
    </w:p>
    <w:p>
      <w:pPr>
        <w:spacing w:line="600" w:lineRule="exact"/>
        <w:jc w:val="center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t>协会提供会员服务事项</w:t>
      </w:r>
    </w:p>
    <w:p>
      <w:pPr>
        <w:spacing w:line="600" w:lineRule="exact"/>
        <w:jc w:val="center"/>
        <w:rPr>
          <w:rFonts w:eastAsia="方正小标宋简体"/>
          <w:color w:val="000000"/>
          <w:sz w:val="36"/>
          <w:szCs w:val="36"/>
        </w:rPr>
      </w:pPr>
    </w:p>
    <w:p>
      <w:pPr>
        <w:spacing w:line="600" w:lineRule="exact"/>
        <w:ind w:firstLine="640" w:firstLineChars="200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（一）经批准，由本会颁发《会员证书》；</w:t>
      </w:r>
    </w:p>
    <w:p>
      <w:pPr>
        <w:spacing w:line="600" w:lineRule="exact"/>
        <w:ind w:firstLine="640" w:firstLineChars="200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（二）享有本会的选举权、被选举权和表决权；</w:t>
      </w:r>
    </w:p>
    <w:p>
      <w:pPr>
        <w:spacing w:line="600" w:lineRule="exact"/>
        <w:ind w:firstLine="640" w:firstLineChars="200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（三）可优先参加本会信用等级和能力星级国家行业评价。通过评价可获得国家相关等级证书及荣誉铭牌；</w:t>
      </w:r>
    </w:p>
    <w:p>
      <w:pPr>
        <w:spacing w:line="600" w:lineRule="exact"/>
        <w:ind w:firstLine="640" w:firstLineChars="200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（四）可参与本会主办的《全国社会办医服务承诺书》签约活动和《全国社会办医阳光平台》宣传展示，并可获得荣誉证书；</w:t>
      </w:r>
    </w:p>
    <w:p>
      <w:pPr>
        <w:spacing w:line="600" w:lineRule="exact"/>
        <w:ind w:firstLine="640" w:firstLineChars="200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（五）可优先安排参加本会举办的各类业务性与学术性行业评选竞标活动；</w:t>
      </w:r>
    </w:p>
    <w:p>
      <w:pPr>
        <w:spacing w:line="600" w:lineRule="exact"/>
        <w:ind w:firstLine="640" w:firstLineChars="200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（六）可申请加入本会全国性分支机构，及发起成立本会相关分支机构或代表机构；</w:t>
      </w:r>
    </w:p>
    <w:p>
      <w:pPr>
        <w:spacing w:line="600" w:lineRule="exact"/>
        <w:ind w:firstLine="640" w:firstLineChars="200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（七）维护会员合法权益，帮助会员协调政府公共关系，及时解决侵权或不公正不公平待遇问题；</w:t>
      </w:r>
    </w:p>
    <w:p>
      <w:pPr>
        <w:spacing w:line="600" w:lineRule="exact"/>
        <w:ind w:firstLine="640" w:firstLineChars="200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（八）可享有协会的法律咨询和援助服务，提高执业经营风险防范及化解能力；</w:t>
      </w:r>
    </w:p>
    <w:p>
      <w:pPr>
        <w:spacing w:line="600" w:lineRule="exact"/>
        <w:ind w:firstLine="640" w:firstLineChars="200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（九）经申请和同意，本会可为会员单位／个人出具推荐函等支持性公函文件；</w:t>
      </w:r>
    </w:p>
    <w:p>
      <w:pPr>
        <w:spacing w:line="600" w:lineRule="exact"/>
        <w:ind w:firstLine="640" w:firstLineChars="200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（十）可通过本会申报国家级继续医学教育项目和岗位能力资格认证培训；</w:t>
      </w:r>
    </w:p>
    <w:p>
      <w:pPr>
        <w:spacing w:line="600" w:lineRule="exact"/>
        <w:ind w:firstLine="640" w:firstLineChars="200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（十一）可优先优惠参加本会及分支机构举办的全国性学术论坛、培训活动，并颁发国家继教学分证书和岗位职业能力证书；</w:t>
      </w:r>
    </w:p>
    <w:p>
      <w:pPr>
        <w:spacing w:line="600" w:lineRule="exact"/>
        <w:ind w:firstLine="640" w:firstLineChars="200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（十二）经本会同意，可作为本会相关会议活动的共同举办、承办、协办、支持单位；</w:t>
      </w:r>
    </w:p>
    <w:p>
      <w:pPr>
        <w:spacing w:line="600" w:lineRule="exact"/>
        <w:ind w:firstLine="640" w:firstLineChars="200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（十三）符合条件的会员单位，可申请建立国家行业培训基地或专家会诊中心等，并可向本会申请设立专业能力培训项目；</w:t>
      </w:r>
    </w:p>
    <w:p>
      <w:pPr>
        <w:spacing w:line="600" w:lineRule="exact"/>
        <w:ind w:firstLine="640" w:firstLineChars="200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（十四）可邀请本会领导及行业专家开展行业调研、考察及指导工作，举办交流座谈会；</w:t>
      </w:r>
    </w:p>
    <w:p>
      <w:pPr>
        <w:spacing w:line="600" w:lineRule="exact"/>
        <w:ind w:firstLine="640" w:firstLineChars="200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（十五）可参加本会组织的国际交流与合作，应邀出席国际会议、商贸洽谈等对外合作项目；</w:t>
      </w:r>
    </w:p>
    <w:p>
      <w:pPr>
        <w:spacing w:line="600" w:lineRule="exact"/>
        <w:ind w:firstLine="640" w:firstLineChars="200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（十六）经本会同意，可与本会合作开展相关业务项目；</w:t>
      </w:r>
    </w:p>
    <w:p>
      <w:pPr>
        <w:spacing w:line="600" w:lineRule="exact"/>
        <w:ind w:firstLine="640" w:firstLineChars="200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（十七）可参加享受本会举办的投融资论坛、项目推介、路演等投融资活动；包括资本运作、上市咨询、资源对接、人才培训、投后管理、品牌宣传、并购出售等投融资和咨询服务；</w:t>
      </w:r>
    </w:p>
    <w:p>
      <w:pPr>
        <w:spacing w:line="600" w:lineRule="exact"/>
        <w:ind w:firstLine="640" w:firstLineChars="200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（十八）会员的发展事迹或举办的大型活动，经审核后可在本会官网、微信公众号、头条号及新华网·新华大健康、人民网·中国社会办医网进行视频直播或图文宣传报道；</w:t>
      </w:r>
    </w:p>
    <w:p>
      <w:pPr>
        <w:spacing w:line="600" w:lineRule="exact"/>
        <w:ind w:firstLine="640" w:firstLineChars="200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（十九）经本会审核，可在本会网站发布人才招聘、项目合作等信息；</w:t>
      </w:r>
    </w:p>
    <w:p>
      <w:pPr>
        <w:spacing w:line="600" w:lineRule="exact"/>
        <w:ind w:firstLine="640" w:firstLineChars="200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（二十）可使用本会药品采购平台、云HIS平台、医协体云平台；</w:t>
      </w:r>
    </w:p>
    <w:p>
      <w:pPr>
        <w:spacing w:line="600" w:lineRule="exact"/>
        <w:ind w:firstLine="640" w:firstLineChars="200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（二十一）根据国家标准，可申请参加国际医疗旅游机构国家认证，获得认证后可与海外机构对接，开展国际医疗旅游业务；</w:t>
      </w:r>
    </w:p>
    <w:p>
      <w:pPr>
        <w:spacing w:line="600" w:lineRule="exact"/>
        <w:ind w:firstLine="640" w:firstLineChars="200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（二十二）结合“民营医院管理年”（2020年8月-2022年12月）活动，可获得本会提供的活动方案指导、典型案例申报及督导检查活动效果等服务；</w:t>
      </w:r>
    </w:p>
    <w:p>
      <w:pPr>
        <w:spacing w:line="600" w:lineRule="exact"/>
        <w:ind w:firstLine="640" w:firstLineChars="200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（二十三）可优先使用本会受政府委托建立的《社会办医依法执业信息监管平台》，优先参加本会依法执业和信息化建设培训；</w:t>
      </w:r>
    </w:p>
    <w:p>
      <w:pPr>
        <w:spacing w:line="600" w:lineRule="exact"/>
        <w:ind w:firstLine="640" w:firstLineChars="200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（二十四）可享受本会合作银行提供的金融服务产品（贷款、融资、发票贷等供应链金融）、资金增值服务（各类存款、现金管理、咨询及理财）、智慧医院建设（云缴费、云支付等金融周边科技生态链构建）等金融服务；</w:t>
      </w:r>
    </w:p>
    <w:p>
      <w:pPr>
        <w:spacing w:line="600" w:lineRule="exact"/>
        <w:ind w:firstLine="640" w:firstLineChars="200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（二十五）可享受由本会提供的单位人才发展咨询评估，构建符合自身发展特点的现代人资管理、薪酬福利及员工保障体系和激励制度，设定长期用人计划和学科建设工作；</w:t>
      </w:r>
    </w:p>
    <w:p>
      <w:pPr>
        <w:spacing w:line="600" w:lineRule="exact"/>
        <w:ind w:firstLine="640" w:firstLineChars="200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（二十六）免费获得本会编印的公开与内部资料。</w:t>
      </w:r>
    </w:p>
    <w:p>
      <w:pPr>
        <w:spacing w:line="560" w:lineRule="exact"/>
        <w:jc w:val="center"/>
        <w:rPr>
          <w:b/>
          <w:bCs/>
          <w:color w:val="000000" w:themeColor="text1"/>
          <w:kern w:val="0"/>
          <w:sz w:val="40"/>
          <w:szCs w:val="40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center"/>
        <w:rPr>
          <w:b/>
          <w:bCs/>
          <w:color w:val="000000" w:themeColor="text1"/>
          <w:kern w:val="0"/>
          <w:sz w:val="40"/>
          <w:szCs w:val="40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center"/>
        <w:rPr>
          <w:b/>
          <w:bCs/>
          <w:color w:val="000000" w:themeColor="text1"/>
          <w:kern w:val="0"/>
          <w:sz w:val="40"/>
          <w:szCs w:val="40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center"/>
        <w:rPr>
          <w:b/>
          <w:bCs/>
          <w:color w:val="000000" w:themeColor="text1"/>
          <w:kern w:val="0"/>
          <w:sz w:val="40"/>
          <w:szCs w:val="40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left"/>
        <w:rPr>
          <w:rFonts w:eastAsia="黑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eastAsia="黑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附件3-3</w:t>
      </w:r>
    </w:p>
    <w:p>
      <w:pPr>
        <w:spacing w:line="560" w:lineRule="exact"/>
        <w:jc w:val="center"/>
        <w:rPr>
          <w:b/>
          <w:bCs/>
          <w:color w:val="000000" w:themeColor="text1"/>
          <w:kern w:val="0"/>
          <w:sz w:val="40"/>
          <w:szCs w:val="40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kern w:val="0"/>
          <w:sz w:val="40"/>
          <w:szCs w:val="40"/>
          <w14:textFill>
            <w14:solidFill>
              <w14:schemeClr w14:val="tx1"/>
            </w14:solidFill>
          </w14:textFill>
        </w:rPr>
        <w:t>协会会员证书及口腔分会成员聘书样式</w:t>
      </w:r>
    </w:p>
    <w:p>
      <w:pPr>
        <w:jc w:val="center"/>
        <w:rPr>
          <w:b/>
          <w:bCs/>
          <w:color w:val="000000" w:themeColor="text1"/>
          <w:kern w:val="0"/>
          <w:sz w:val="40"/>
          <w:szCs w:val="40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kern w:val="0"/>
          <w:sz w:val="40"/>
          <w:szCs w:val="4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85720" cy="3656330"/>
            <wp:effectExtent l="0" t="0" r="508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8845" cy="370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  <w:kern w:val="0"/>
          <w:sz w:val="40"/>
          <w:szCs w:val="4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83180" cy="36449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6623" cy="373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kern w:val="0"/>
          <w:sz w:val="40"/>
          <w:szCs w:val="4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90185" cy="3708400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5446" cy="372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footerReference r:id="rId4" w:type="even"/>
      <w:pgSz w:w="11907" w:h="16839"/>
      <w:pgMar w:top="2098" w:right="1474" w:bottom="1985" w:left="1588" w:header="851" w:footer="992" w:gutter="0"/>
      <w:pgNumType w:fmt="numberInDash"/>
      <w:cols w:space="720" w:num="1"/>
      <w:titlePg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12"/>
      </w:rPr>
      <w:id w:val="262574276"/>
    </w:sdtPr>
    <w:sdtEndPr>
      <w:rPr>
        <w:rStyle w:val="12"/>
      </w:rPr>
    </w:sdtEndPr>
    <w:sdtContent>
      <w:p>
        <w:pPr>
          <w:pStyle w:val="6"/>
          <w:framePr w:wrap="around" w:vAnchor="text" w:hAnchor="margin" w:xAlign="center" w:y="1"/>
          <w:rPr>
            <w:rStyle w:val="12"/>
          </w:rPr>
        </w:pPr>
        <w:r>
          <w:rPr>
            <w:rStyle w:val="12"/>
            <w:rFonts w:ascii="宋体" w:hAnsi="宋体"/>
            <w:sz w:val="28"/>
            <w:szCs w:val="28"/>
          </w:rPr>
          <w:fldChar w:fldCharType="begin"/>
        </w:r>
        <w:r>
          <w:rPr>
            <w:rStyle w:val="12"/>
            <w:rFonts w:ascii="宋体" w:hAnsi="宋体"/>
            <w:sz w:val="28"/>
            <w:szCs w:val="28"/>
          </w:rPr>
          <w:instrText xml:space="preserve"> PAGE </w:instrText>
        </w:r>
        <w:r>
          <w:rPr>
            <w:rStyle w:val="12"/>
            <w:rFonts w:ascii="宋体" w:hAnsi="宋体"/>
            <w:sz w:val="28"/>
            <w:szCs w:val="28"/>
          </w:rPr>
          <w:fldChar w:fldCharType="separate"/>
        </w:r>
        <w:r>
          <w:rPr>
            <w:rStyle w:val="12"/>
            <w:rFonts w:ascii="宋体" w:hAnsi="宋体"/>
            <w:sz w:val="28"/>
            <w:szCs w:val="28"/>
          </w:rPr>
          <w:t>- 5 -</w:t>
        </w:r>
        <w:r>
          <w:rPr>
            <w:rStyle w:val="12"/>
            <w:rFonts w:ascii="宋体" w:hAnsi="宋体"/>
            <w:sz w:val="28"/>
            <w:szCs w:val="28"/>
          </w:rPr>
          <w:fldChar w:fldCharType="end"/>
        </w:r>
      </w:p>
    </w:sdtContent>
  </w:sdt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12"/>
      </w:rPr>
      <w:id w:val="597449472"/>
    </w:sdtPr>
    <w:sdtEndPr>
      <w:rPr>
        <w:rStyle w:val="12"/>
      </w:rPr>
    </w:sdtEndPr>
    <w:sdtContent>
      <w:p>
        <w:pPr>
          <w:pStyle w:val="6"/>
          <w:framePr w:wrap="around" w:vAnchor="text" w:hAnchor="margin" w:xAlign="center" w:y="1"/>
          <w:rPr>
            <w:rStyle w:val="12"/>
          </w:rPr>
        </w:pPr>
        <w:r>
          <w:rPr>
            <w:rStyle w:val="12"/>
          </w:rPr>
          <w:fldChar w:fldCharType="begin"/>
        </w:r>
        <w:r>
          <w:rPr>
            <w:rStyle w:val="12"/>
          </w:rPr>
          <w:instrText xml:space="preserve"> PAGE </w:instrText>
        </w:r>
        <w:r>
          <w:rPr>
            <w:rStyle w:val="12"/>
          </w:rPr>
          <w:fldChar w:fldCharType="end"/>
        </w:r>
      </w:p>
    </w:sdtContent>
  </w:sdt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characterSpacingControl w:val="compressPunctuation"/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F8E"/>
    <w:rsid w:val="00132FFF"/>
    <w:rsid w:val="004222D3"/>
    <w:rsid w:val="00523948"/>
    <w:rsid w:val="00537B59"/>
    <w:rsid w:val="005D2373"/>
    <w:rsid w:val="005F3716"/>
    <w:rsid w:val="0078343E"/>
    <w:rsid w:val="009201FF"/>
    <w:rsid w:val="00A43BD6"/>
    <w:rsid w:val="00AF5D19"/>
    <w:rsid w:val="00C53937"/>
    <w:rsid w:val="00C96890"/>
    <w:rsid w:val="00CF061C"/>
    <w:rsid w:val="00E12FA9"/>
    <w:rsid w:val="00F11F8E"/>
    <w:rsid w:val="00F63959"/>
    <w:rsid w:val="00F93997"/>
    <w:rsid w:val="00FD6E2E"/>
    <w:rsid w:val="00FF57E2"/>
    <w:rsid w:val="01410C01"/>
    <w:rsid w:val="65AF2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kern w:val="44"/>
      <w:sz w:val="44"/>
    </w:rPr>
  </w:style>
  <w:style w:type="paragraph" w:styleId="3">
    <w:name w:val="heading 2"/>
    <w:next w:val="1"/>
    <w:unhideWhenUsed/>
    <w:qFormat/>
    <w:uiPriority w:val="9"/>
    <w:pPr>
      <w:spacing w:before="100" w:beforeAutospacing="1" w:after="100" w:afterAutospacing="1"/>
      <w:outlineLvl w:val="1"/>
    </w:pPr>
    <w:rPr>
      <w:rFonts w:ascii="宋体" w:hAnsi="Times New Roman" w:eastAsia="宋体" w:cs="Times New Roman"/>
      <w:b/>
      <w:sz w:val="36"/>
      <w:szCs w:val="21"/>
      <w:lang w:val="en-US" w:eastAsia="zh-CN" w:bidi="ar-SA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unhideWhenUsed/>
    <w:qFormat/>
    <w:uiPriority w:val="99"/>
    <w:rPr>
      <w:rFonts w:ascii="宋体"/>
      <w:sz w:val="18"/>
      <w:szCs w:val="18"/>
    </w:rPr>
  </w:style>
  <w:style w:type="paragraph" w:styleId="6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qFormat/>
    <w:uiPriority w:val="99"/>
    <w:pPr>
      <w:widowControl w:val="0"/>
      <w:spacing w:before="100" w:beforeAutospacing="1" w:after="100" w:afterAutospacing="1"/>
    </w:pPr>
    <w:rPr>
      <w:rFonts w:ascii="宋体" w:hAnsi="Times New Roman" w:eastAsia="宋体" w:cs="Times New Roman"/>
      <w:kern w:val="2"/>
      <w:sz w:val="24"/>
      <w:szCs w:val="21"/>
      <w:lang w:val="en-US" w:eastAsia="zh-CN" w:bidi="ar-SA"/>
    </w:rPr>
  </w:style>
  <w:style w:type="character" w:styleId="11">
    <w:name w:val="Strong"/>
    <w:qFormat/>
    <w:uiPriority w:val="0"/>
    <w:rPr>
      <w:b/>
    </w:rPr>
  </w:style>
  <w:style w:type="character" w:styleId="12">
    <w:name w:val="page number"/>
    <w:basedOn w:val="10"/>
    <w:unhideWhenUsed/>
    <w:qFormat/>
    <w:uiPriority w:val="99"/>
  </w:style>
  <w:style w:type="character" w:styleId="13">
    <w:name w:val="FollowedHyperlink"/>
    <w:basedOn w:val="10"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Hyperlink"/>
    <w:basedOn w:val="10"/>
    <w:qFormat/>
    <w:uiPriority w:val="0"/>
    <w:rPr>
      <w:color w:val="0000FF"/>
      <w:u w:val="single"/>
    </w:rPr>
  </w:style>
  <w:style w:type="character" w:customStyle="1" w:styleId="15">
    <w:name w:val="批注框文本 字符"/>
    <w:basedOn w:val="10"/>
    <w:link w:val="5"/>
    <w:semiHidden/>
    <w:qFormat/>
    <w:uiPriority w:val="99"/>
    <w:rPr>
      <w:rFonts w:ascii="宋体"/>
      <w:kern w:val="2"/>
      <w:sz w:val="18"/>
      <w:szCs w:val="18"/>
    </w:rPr>
  </w:style>
  <w:style w:type="paragraph" w:customStyle="1" w:styleId="16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7">
    <w:name w:val="页脚 字符"/>
    <w:basedOn w:val="10"/>
    <w:link w:val="6"/>
    <w:qFormat/>
    <w:uiPriority w:val="99"/>
    <w:rPr>
      <w:kern w:val="2"/>
      <w:sz w:val="18"/>
      <w:szCs w:val="18"/>
    </w:rPr>
  </w:style>
  <w:style w:type="character" w:customStyle="1" w:styleId="18">
    <w:name w:val="页眉 字符"/>
    <w:basedOn w:val="10"/>
    <w:link w:val="7"/>
    <w:qFormat/>
    <w:uiPriority w:val="99"/>
    <w:rPr>
      <w:kern w:val="2"/>
      <w:sz w:val="18"/>
      <w:szCs w:val="18"/>
    </w:rPr>
  </w:style>
  <w:style w:type="character" w:customStyle="1" w:styleId="19">
    <w:name w:val="未处理的提及1"/>
    <w:basedOn w:val="10"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996</Words>
  <Characters>5683</Characters>
  <Lines>47</Lines>
  <Paragraphs>13</Paragraphs>
  <TotalTime>5</TotalTime>
  <ScaleCrop>false</ScaleCrop>
  <LinksUpToDate>false</LinksUpToDate>
  <CharactersWithSpaces>6666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2021-03-10T16:56:00Z</dcterms:created>
  <dc:creator>Administrator</dc:creator>
  <cp:lastModifiedBy>豆纸</cp:lastModifiedBy>
  <dcterms:modified xsi:type="dcterms:W3CDTF">2021-03-12T08:37:43Z</dcterms:modified>
  <cp:revision>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