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69" w:rsidRPr="001A0E69" w:rsidRDefault="001A0E69" w:rsidP="00F800B9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1A0E69">
        <w:rPr>
          <w:rFonts w:ascii="微软雅黑" w:eastAsia="微软雅黑" w:hAnsi="微软雅黑" w:hint="eastAsia"/>
          <w:color w:val="000000" w:themeColor="text1"/>
          <w:sz w:val="36"/>
          <w:szCs w:val="36"/>
        </w:rPr>
        <w:t>2016年7月全国医疗服务情况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 xml:space="preserve">　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ind w:firstLineChars="100" w:firstLine="320"/>
        <w:jc w:val="both"/>
        <w:rPr>
          <w:rFonts w:ascii="仿宋_GB2312" w:eastAsia="仿宋_GB2312"/>
          <w:color w:val="48484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484848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484848"/>
          <w:sz w:val="32"/>
          <w:szCs w:val="32"/>
        </w:rPr>
        <w:t>一、诊疗人次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7月份，全国医疗卫生机构诊疗人次6.4亿人次，同比降低1.2%，环比提高0.2%。其中：医院2.7亿人次，同比提高0.5%，环比提高1.4%；基层医疗卫生机构诊疗人次为3.5亿人次，同比降低3.1%，环比降低0.5%；其他机构0.2 </w:t>
      </w:r>
      <w:proofErr w:type="gramStart"/>
      <w:r>
        <w:rPr>
          <w:rFonts w:ascii="仿宋_GB2312" w:eastAsia="仿宋_GB2312" w:hint="eastAsia"/>
          <w:color w:val="484848"/>
          <w:sz w:val="32"/>
          <w:szCs w:val="32"/>
        </w:rPr>
        <w:t>亿人次</w:t>
      </w:r>
      <w:proofErr w:type="gramEnd"/>
      <w:r>
        <w:rPr>
          <w:rFonts w:ascii="仿宋_GB2312" w:eastAsia="仿宋_GB2312" w:hint="eastAsia"/>
          <w:color w:val="484848"/>
          <w:sz w:val="32"/>
          <w:szCs w:val="32"/>
        </w:rPr>
        <w:t>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2.3亿人次，同比降低1.1%，环比提高1.1%；民营医院0.3亿人次，同比提高14.2%，环比降低3.2%。基层医疗卫生机构中：社区卫生服务中心(站)0.5亿人次，同比降低4.5%，环比降低0.2%；乡镇卫生院0.8亿人次，同比降低4.5%，环比降低2.3%。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lastRenderedPageBreak/>
        <w:drawing>
          <wp:inline distT="0" distB="0" distL="0" distR="0">
            <wp:extent cx="5448300" cy="4629150"/>
            <wp:effectExtent l="0" t="0" r="0" b="0"/>
            <wp:docPr id="2" name="图片 2" descr="http://www.nhfpc.gov.cn/ewebeditor/uploadfile/2016/09/2016091910122334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fpc.gov.cn/ewebeditor/uploadfile/2016/09/20160919101223345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二、出院人数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7月份，全国医疗卫生机构出院人数达1807.4万人，同比提高2.2%，环比提高1.6%。其中：医院1410.3万人，同比提高3.8%，环比提高2.5%；基层医疗卫生机构出院人数为313.8万人，同比降低5.7%，环比降低2.4%；其他机构83.3万人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医院中：公立医院1198.0万人，同比提高1.5%，环比提高2.1%；民营医院212.2万人，同比提高18.9%，环比提</w:t>
      </w:r>
      <w:r>
        <w:rPr>
          <w:rFonts w:ascii="仿宋_GB2312" w:eastAsia="仿宋_GB2312" w:hint="eastAsia"/>
          <w:color w:val="484848"/>
          <w:sz w:val="32"/>
          <w:szCs w:val="32"/>
        </w:rPr>
        <w:lastRenderedPageBreak/>
        <w:t>高4.8%。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各地区医院和乡镇卫生院医疗服务量见表2。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1A0E69" w:rsidRDefault="001A0E69" w:rsidP="001A0E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drawing>
          <wp:inline distT="0" distB="0" distL="0" distR="0">
            <wp:extent cx="5248275" cy="6238875"/>
            <wp:effectExtent l="0" t="0" r="9525" b="9525"/>
            <wp:docPr id="1" name="图片 1" descr="http://www.nhfpc.gov.cn/ewebeditor/uploadfile/2016/09/201609191013082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fpc.gov.cn/ewebeditor/uploadfile/2016/09/20160919101308235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1A0E69" w:rsidRPr="001A0E69" w:rsidRDefault="001A0E69" w:rsidP="00F800B9">
      <w:pPr>
        <w:jc w:val="center"/>
        <w:rPr>
          <w:rFonts w:hint="eastAsia"/>
          <w:color w:val="000000" w:themeColor="text1"/>
        </w:rPr>
      </w:pPr>
    </w:p>
    <w:sectPr w:rsidR="001A0E69" w:rsidRPr="001A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C"/>
    <w:rsid w:val="001A0E69"/>
    <w:rsid w:val="00751B7C"/>
    <w:rsid w:val="00CC3377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6874B-12FF-46BF-B29C-90B1A81D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2019-03-01T06:47:00Z</dcterms:created>
  <dcterms:modified xsi:type="dcterms:W3CDTF">2019-03-01T07:16:00Z</dcterms:modified>
</cp:coreProperties>
</file>